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УВАЖАЕМЫЕ РАБОТОДАТЕЛИ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>!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</w:r>
    </w:p>
    <w:p>
      <w:pPr>
        <w:pStyle w:val="Normal"/>
        <w:ind w:firstLine="709"/>
        <w:jc w:val="both"/>
        <w:rPr/>
      </w:pPr>
      <w:bookmarkStart w:id="1" w:name="__DdeLink__10565_1084191175"/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highlight w:val="white"/>
          <w:lang w:val="ru-RU" w:eastAsia="en-US" w:bidi="ar-SA"/>
        </w:rPr>
        <w:t xml:space="preserve">23 марта 2020 года </w:t>
      </w:r>
      <w:r>
        <w:rPr>
          <w:rFonts w:cs="Times New Roman" w:ascii="Times New Roman" w:hAnsi="Times New Roman"/>
          <w:sz w:val="28"/>
          <w:szCs w:val="28"/>
          <w:highlight w:val="white"/>
        </w:rPr>
        <w:t>между профсоюзами, работодателями и П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highlight w:val="white"/>
          <w:lang w:val="ru-RU" w:eastAsia="en-US" w:bidi="ar-SA"/>
        </w:rPr>
        <w:t>равительством П</w:t>
      </w:r>
      <w:r>
        <w:rPr>
          <w:rFonts w:cs="Times New Roman" w:ascii="Times New Roman" w:hAnsi="Times New Roman"/>
          <w:sz w:val="28"/>
          <w:szCs w:val="28"/>
          <w:highlight w:val="white"/>
        </w:rPr>
        <w:t>риморского края заключено региональное трехстороннее Соглашение о регулировании социально-трудовых отношений на 2020-2022 год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ы (далее –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С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оглашение), которое включает обязательства сторон по</w:t>
      </w:r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  <w:highlight w:val="white"/>
        </w:rPr>
        <w:t xml:space="preserve"> обеспечени</w:t>
      </w:r>
      <w:r>
        <w:rPr>
          <w:rFonts w:eastAsia="Calibri" w:cs="Times New Roman" w:ascii="Times New Roman" w:hAnsi="Times New Roman" w:eastAsiaTheme="minorHAnsi"/>
          <w:color w:val="000000"/>
          <w:kern w:val="0"/>
          <w:sz w:val="28"/>
          <w:szCs w:val="28"/>
          <w:highlight w:val="white"/>
          <w:lang w:val="ru-RU" w:eastAsia="en-US" w:bidi="ar-SA"/>
        </w:rPr>
        <w:t>ю</w:t>
      </w:r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  <w:highlight w:val="white"/>
        </w:rPr>
        <w:t xml:space="preserve"> социальной стабильности, включая снижение масштабов бедности, безработицы,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обеспечению </w:t>
      </w:r>
      <w:r>
        <w:rPr>
          <w:rFonts w:eastAsia="Calibri" w:cs="Times New Roman" w:ascii="Times New Roman" w:hAnsi="Times New Roman" w:eastAsiaTheme="minorHAnsi"/>
          <w:color w:val="000000"/>
          <w:sz w:val="28"/>
          <w:szCs w:val="28"/>
          <w:highlight w:val="white"/>
        </w:rPr>
        <w:t xml:space="preserve">социальных гарантий работникам и предотвращению трудовых конфликтов, 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повышению </w:t>
      </w:r>
      <w:r>
        <w:rPr>
          <w:rFonts w:eastAsia="Calibri" w:cs="Times New Roman" w:ascii="Times New Roman" w:hAnsi="Times New Roman" w:eastAsiaTheme="minorHAnsi"/>
          <w:color w:val="000000"/>
          <w:kern w:val="0"/>
          <w:sz w:val="28"/>
          <w:szCs w:val="28"/>
          <w:highlight w:val="white"/>
          <w:lang w:val="ru-RU" w:eastAsia="en-US" w:bidi="ar-SA"/>
        </w:rPr>
        <w:t>благосостояния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 населения Приморского края.</w:t>
      </w:r>
      <w:bookmarkEnd w:id="1"/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Данные обязательства включают в себя выполнение работодателями требований нормативных документов по формированию и сдаче на хранение архивов организаций, содержащих персональные данные работников, необходимые для назначения пенсий и социальных пособий (пункт 4.11. Соглашения). Такие архивные документы являются документами по личному составу.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Федеральным законом от 22 октября 2004 г. № 125-ФЗ «Об архивном деле в Российской Федерации» установлена обязанность государственных органов, органов местного самоуправления, организаций и граждан, занимающихся предпринимательской деятельностью без образования юридического лица, обеспечивать сохранность документов по личному составу, созданных до 2003 года, – не менее 75 лет со дня создания; созданных начиная с 2003 года – не менее 50 лет со дня создания (статьи 17 и 22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1</w:t>
      </w:r>
      <w:r>
        <w:rPr>
          <w:rFonts w:cs="Times New Roman" w:ascii="Times New Roman" w:hAnsi="Times New Roman"/>
          <w:sz w:val="28"/>
          <w:szCs w:val="28"/>
        </w:rPr>
        <w:t>), а при ликвидации (в том числе в результате банкротства) – передавать эти документы в упорядоченном состоянии в соответствующий государственный или муниципальный архив (статья 23).</w:t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Состав документов, подлежащих хранению в течение 75/50 лет, а также сроки хранения документов, определяются перечнем типовых архивных документов с указанием сроков их хранения, утверждаемым специально уполномоченным Правительством Российской Федерации федеральным органом исполнительной власти, а также перечнями документов, образующихся в процессе деятельности федеральных органов государственной власти, иных государственных органов Российской Федерации и их под</w:t>
      </w:r>
      <w:r>
        <w:rPr>
          <w:rFonts w:cs="Times New Roman" w:ascii="Times New Roman" w:hAnsi="Times New Roman"/>
          <w:sz w:val="28"/>
          <w:szCs w:val="28"/>
          <w:highlight w:val="white"/>
        </w:rPr>
        <w:t>ведомственных организаций, с указанием сроков хранения (статья 23).</w:t>
      </w:r>
    </w:p>
    <w:p>
      <w:pPr>
        <w:pStyle w:val="Normal"/>
        <w:ind w:firstLine="709"/>
        <w:jc w:val="both"/>
        <w:rPr>
          <w:rFonts w:ascii="Calibri" w:hAnsi="Calibri" w:eastAsia="Calibri" w:cs="" w:asciiTheme="minorHAnsi" w:cstheme="minorBidi" w:eastAsiaTheme="minorHAnsi" w:hAnsiTheme="minorHAnsi"/>
          <w:highlight w:val="white"/>
        </w:rPr>
      </w:pPr>
      <w:r>
        <w:rPr>
          <w:rFonts w:cs="Times New Roman" w:ascii="Times New Roman" w:hAnsi="Times New Roman"/>
          <w:sz w:val="28"/>
          <w:szCs w:val="28"/>
          <w:highlight w:val="white"/>
        </w:rPr>
        <w:t xml:space="preserve">В Перечне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утвержденном приказом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highlight w:val="white"/>
          <w:lang w:val="ru-RU" w:eastAsia="en-US" w:bidi="ar-SA"/>
        </w:rPr>
        <w:t xml:space="preserve">Федерального архивного агентства 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от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highlight w:val="white"/>
          <w:lang w:val="ru-RU" w:eastAsia="en-US" w:bidi="ar-SA"/>
        </w:rPr>
        <w:t>20.12.</w:t>
      </w:r>
      <w:r>
        <w:rPr>
          <w:rFonts w:cs="Times New Roman" w:ascii="Times New Roman" w:hAnsi="Times New Roman"/>
          <w:sz w:val="28"/>
          <w:szCs w:val="28"/>
          <w:highlight w:val="white"/>
        </w:rPr>
        <w:t>201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highlight w:val="white"/>
          <w:lang w:val="ru-RU" w:eastAsia="en-US" w:bidi="ar-SA"/>
        </w:rPr>
        <w:t>9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 № 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highlight w:val="white"/>
          <w:lang w:val="ru-RU" w:eastAsia="en-US" w:bidi="ar-SA"/>
        </w:rPr>
        <w:t>236 (зарегистрирован в Минюсте России 06.02.2020, регистрационный № 57449)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 определен комплекс документов, которым установлен 75/50-летний сро</w:t>
      </w: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к хранения.</w:t>
      </w:r>
    </w:p>
    <w:p>
      <w:pPr>
        <w:pStyle w:val="Normal"/>
        <w:ind w:firstLine="709"/>
        <w:jc w:val="both"/>
        <w:rPr>
          <w:rFonts w:ascii="Calibri" w:hAnsi="Calibri" w:eastAsia="Calibri" w:cs="" w:asciiTheme="minorHAnsi" w:cstheme="minorBidi" w:eastAsiaTheme="minorHAnsi" w:hAnsiTheme="minorHAnsi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 xml:space="preserve">Кроме того, целому ряду документов с 5-летним сроком хранения (ст.310-312, 402, 407, 434, 553), с 6-летним сроком хранения (ст. 295, 309, 624), может быть установлен 75/50-летний срок хранения для работников с тяжелыми, </w:t>
      </w:r>
    </w:p>
    <w:p>
      <w:pPr>
        <w:sectPr>
          <w:type w:val="nextPage"/>
          <w:pgSz w:w="11906" w:h="16838"/>
          <w:pgMar w:left="1418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ind w:firstLine="709"/>
        <w:jc w:val="both"/>
        <w:rPr>
          <w:rFonts w:ascii="Calibri" w:hAnsi="Calibri" w:eastAsia="Calibri" w:cs="" w:asciiTheme="minorHAnsi" w:cstheme="minorBidi" w:eastAsiaTheme="minorHAnsi" w:hAnsiTheme="minorHAnsi"/>
          <w:color w:val="000000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вредными, опасными условиями труда и/или при отсутствии по каким-либо причинам документов, имеющих 75/50-летний срок хранения.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Вместе с тем, обращаем внимание на то, что Кодексом Российской Федерации об административных правонарушениях предусмотрена административная ответственность за нарушение правил хранения, комплектования, учета или использования архивных документов (статья 13.20) и нарушения требований законодательства о хранении документов (статья 13.25).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ВЫПИСКА</w:t>
      </w:r>
    </w:p>
    <w:p>
      <w:pPr>
        <w:pStyle w:val="Normal"/>
        <w:spacing w:lineRule="auto" w:line="240" w:before="0" w:after="240"/>
        <w:jc w:val="center"/>
        <w:rPr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и</w:t>
      </w:r>
      <w:r>
        <w:rPr>
          <w:rFonts w:cs="Times New Roman" w:ascii="Times New Roman" w:hAnsi="Times New Roman"/>
          <w:sz w:val="28"/>
          <w:szCs w:val="28"/>
        </w:rPr>
        <w:t xml:space="preserve">з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П</w:t>
      </w:r>
      <w:r>
        <w:rPr>
          <w:rFonts w:cs="Times New Roman" w:ascii="Times New Roman" w:hAnsi="Times New Roman"/>
          <w:sz w:val="28"/>
          <w:szCs w:val="28"/>
        </w:rPr>
        <w:t>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 (утвержден приказом Росархива от 20.12.2019 № 236)</w:t>
      </w:r>
    </w:p>
    <w:tbl>
      <w:tblPr>
        <w:tblW w:w="5000" w:type="pct"/>
        <w:jc w:val="left"/>
        <w:tblInd w:w="40" w:type="dxa"/>
        <w:tblCellMar>
          <w:top w:w="45" w:type="dxa"/>
          <w:left w:w="45" w:type="dxa"/>
          <w:bottom w:w="45" w:type="dxa"/>
          <w:right w:w="45" w:type="dxa"/>
        </w:tblCellMar>
        <w:tblLook w:val="04a0" w:noVBand="1" w:noHBand="0" w:lastColumn="0" w:firstColumn="1" w:lastRow="0" w:firstRow="1"/>
      </w:tblPr>
      <w:tblGrid>
        <w:gridCol w:w="865"/>
        <w:gridCol w:w="4047"/>
        <w:gridCol w:w="1590"/>
        <w:gridCol w:w="18"/>
        <w:gridCol w:w="3117"/>
      </w:tblGrid>
      <w:tr>
        <w:trPr>
          <w:tblHeader w:val="true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38" w:before="4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Номер статьи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38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38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Срок хранения документа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exact" w:line="238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Примечания</w:t>
            </w:r>
          </w:p>
        </w:tc>
      </w:tr>
      <w:tr>
        <w:trPr>
          <w:tblHeader w:val="true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  <w:bookmarkStart w:id="2" w:name="_GoBack2"/>
            <w:bookmarkEnd w:id="2"/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40" w:after="57"/>
              <w:jc w:val="center"/>
              <w:outlineLvl w:val="2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1. Организация системы управления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1.3. Организационные основы управления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Штатные расстановки (штатно-списочный состав работников)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23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  <w:r>
              <w:rPr>
                <w:rStyle w:val="Style15"/>
                <w:rFonts w:eastAsia="Times New Roman" w:cs="Times New Roman" w:ascii="Times New Roman" w:hAnsi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1.3.3. Управление и распоряжение имуществом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Ведомости на выплату дивидендов(доходов) по ценным бумагам и иных выплат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3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40" w:after="40"/>
              <w:jc w:val="center"/>
              <w:outlineLvl w:val="3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1.5. Документационное обеспечение управления и организация хранения документов</w:t>
            </w:r>
          </w:p>
        </w:tc>
      </w:tr>
      <w:tr>
        <w:trPr/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Документы (журналы, реестры, базы данных) регистрации и контроля: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27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(1) О ежегодно оплачиваемых отпусках, отпусках в связи с обучением, дежурствах, </w:t>
              <w:br/>
              <w:t>не связанных с основной (профильной) деятельностью – 5 лет</w:t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б) распорядительных документов </w:t>
              <w:br/>
              <w:t>по личному составу;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50/75 лет </w:t>
              <w:br/>
              <w:t>ЭПК</w:t>
            </w:r>
            <w:r>
              <w:rPr>
                <w:rStyle w:val="Style15"/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footnoteReference w:id="3"/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3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40" w:after="120"/>
              <w:jc w:val="center"/>
              <w:outlineLvl w:val="2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4. Учет и отчетность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4.2. Учет оплаты труда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Документы (сводные расчетные (расчетно-платежные) платежные ведомости и документы к ним, расчетные листы на выдачу заработной платы, пособий, гонораров, материальной помощи </w:t>
              <w:br/>
              <w:t>и других выплат) о получении заработной платы и других выплат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 лет (1)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При отсутствии лицевых счетов – 50/75 лет</w:t>
            </w:r>
          </w:p>
        </w:tc>
      </w:tr>
      <w:tr>
        <w:trPr/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40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Лицевые счета работников, карточки-справки </w:t>
              <w:br/>
              <w:t>по заработной плате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50/75 лет </w:t>
              <w:br/>
              <w:t>ЭПК</w:t>
            </w:r>
          </w:p>
        </w:tc>
        <w:tc>
          <w:tcPr>
            <w:tcW w:w="31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Договоры гражданско- правового характера о выполнении работ, оказании услуг физическими лицами, акты сдачи-приемки выполненных работ, оказанных услуг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0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40" w:after="40"/>
              <w:jc w:val="center"/>
              <w:outlineLvl w:val="3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4.3. Налогообложение</w:t>
            </w:r>
          </w:p>
        </w:tc>
      </w:tr>
      <w:tr>
        <w:trPr/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Расчеты по страховым взносам: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0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а) годовые;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0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б) квартальные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0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Карточки индивидуального учета сумм начисленных выплат и иных вознаграждений и сумм начисленных страховых взносов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 лет (1)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При отсутствии лицевых счетов или ведомостей начисления заработной платы – 50/75 лет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Налоговые декларации (расчеты) юридических лиц, индивидуальных предпринимателей по всем видам налогов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 (1)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(1) Налоговые декларации индивидуальных предпринимателей </w:t>
              <w:br/>
              <w:t>по 2002 год включительно – 75 лет</w:t>
            </w:r>
          </w:p>
          <w:p>
            <w:pPr>
              <w:pStyle w:val="Normal"/>
              <w:spacing w:lineRule="auto" w:line="240" w:before="119" w:after="57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119" w:after="57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3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Документы (расчеты сумм налога, сообщения о невозможности удержать налог, регистры </w:t>
              <w:br/>
              <w:t xml:space="preserve">налогового учета) по налогу </w:t>
              <w:br/>
              <w:t>на доходы физических лиц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 (1)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При отсутствии лицевых счетов или ведомостей начисления заработной платы – 50/75 лет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Справка о доходах и суммах налога физического лица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 (1)(2)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38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При отсутствии лицевых счетов или ведомостей начисления заработной платы – 50/75 лет</w:t>
            </w:r>
          </w:p>
          <w:p>
            <w:pPr>
              <w:pStyle w:val="Normal"/>
              <w:spacing w:lineRule="exact" w:line="238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(2) В налоговых органах не менее 3 лет после получения свидетельства </w:t>
              <w:br/>
              <w:t>о смерти налогоплательщика либо документа о признании налогоплательщика умершим</w:t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40" w:after="120"/>
              <w:jc w:val="center"/>
              <w:outlineLvl w:val="2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7. Трудовые отношения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7.1. Организация труда и служебной деятельности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Документы (заявления, докладные записки, справки, информации) </w:t>
              <w:br/>
              <w:t>о переводе работников на сокращенный рабочий день или сокращенную рабочую неделю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 (1)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При вредных и опасных условиях труда – 50/75 лет</w:t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40" w:after="40"/>
              <w:jc w:val="center"/>
              <w:outlineLvl w:val="3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7.2. Нормирование и оплата труда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159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Тарификационные списки (ведомости) работников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Табели (графики), журналы учета рабочего времени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 (1)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При вредных и опасных условиях труда – 50/75 лет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Документы (протоколы, акты, справки, сведения) об оплате труда </w:t>
              <w:br/>
              <w:t>и исчислении трудового стажа работника организации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159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159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Документы (протоколы, акты, справки, сведения) о выплате денежного содержания и исчислении стажа работы лицам, замещающим государственные должности, должности государственной (муниципальной) службы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159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15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40" w:after="40"/>
              <w:jc w:val="center"/>
              <w:outlineLvl w:val="3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7.3. Охрана труда</w:t>
            </w:r>
          </w:p>
        </w:tc>
      </w:tr>
      <w:tr>
        <w:trPr/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Отчеты по проведению специальной оценки условий труда (СОУТ) и документы к ним (протоколы, решения, заключения, перечни рабочих мест, сведения, данные, сводные ведомости, декларации соответствия, карты специальной оценки условий труда на конкретные рабочие места, перечни мероприятий по улучшению условий и охраны труда):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При вредных и опасных условиях труда – 50/75 лет</w:t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а) по месту проведения;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57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 лет (1)</w:t>
            </w:r>
          </w:p>
        </w:tc>
        <w:tc>
          <w:tcPr>
            <w:tcW w:w="3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3" w:after="17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б) в других организациях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3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Протоколы, заключения психофизиологических обследований работников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22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Списки работающих на производстве с вредными, опасными условиями труда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Наряды-допуски на производство работ в местах действия вредных </w:t>
              <w:br/>
              <w:t>и опасных производственных факторов; на выполнение особо опасных и вредных работ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 год (1)(2)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После закрытия наряда- допуска</w:t>
            </w:r>
          </w:p>
          <w:p>
            <w:pPr>
              <w:pStyle w:val="Normal"/>
              <w:spacing w:lineRule="auto" w:line="240" w:before="170" w:after="17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(2) При производственных травмах, авариях и несчастных случаях </w:t>
              <w:br/>
              <w:t>на производстве – 45 лет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Журнал учета выдачи нарядов- допусков на производство работ </w:t>
              <w:br/>
              <w:t xml:space="preserve">в местах действия вредных </w:t>
              <w:br/>
              <w:t>и опасных производственных факторов; на выполнение особо опасных и вредных работ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 год (1)(2)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После закрытия нарядов-допусков</w:t>
            </w:r>
          </w:p>
          <w:p>
            <w:pPr>
              <w:pStyle w:val="Normal"/>
              <w:spacing w:lineRule="auto" w:line="240" w:before="170" w:after="17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(2) При производственных травмах, авариях и несчастных случаях на производстве – 45 лет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Документы (акты, протоколы, заключения, сведения, справки, переписка) о расследовании и учете профессиональных заболеваний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Журналы, книги учета: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а) инструктажа по охране труда (вводного и на рабочем месте);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 лет</w:t>
            </w:r>
          </w:p>
        </w:tc>
        <w:tc>
          <w:tcPr>
            <w:tcW w:w="3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б) профилактических работ по охране труда, проверки знаний по охране труда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3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Книги, журналы регистрации, базы данных несчастных случаев на производстве, учета аварий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Документы (акты, заключения, отчеты, протоколы, справки, эскизы, схемы, фото и видеодокументы, выписки из журналов инструктажа по охране труда) о производственных травмах, авариях и несчастных случаях на производстве: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70" w:after="17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(1) Связанных с крупным материальным ущербом и человеческими жертвами –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остоянно</w:t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а) по месту составления;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 лет (1)</w:t>
            </w:r>
          </w:p>
        </w:tc>
        <w:tc>
          <w:tcPr>
            <w:tcW w:w="3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б) в других организациях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3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85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Документы (докладные записки, акты, заключения, переписка) об обеспечении рабочих и служащих средствами индивидуальной защиты, смывающими и обезвреживающими средствами, молоком и другими равноценными пищевыми продуктами, лечебно-профилактическим питанием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 года (1)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При отсутствии других документов о вредных и опасных условиях труда акты, заключения – 50/75 лет</w:t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40" w:after="120"/>
              <w:jc w:val="center"/>
              <w:outlineLvl w:val="2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8. Кадровое обеспечение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40" w:after="40"/>
              <w:jc w:val="center"/>
              <w:outlineLvl w:val="3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8.1. Прием, перевод на другую работу (перемещение), увольнение работников, кадровый учет</w:t>
            </w:r>
          </w:p>
        </w:tc>
      </w:tr>
      <w:tr>
        <w:trPr/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6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Приказы, распоряжения по личному составу; документы (докладные записки, справки, заявления) к ним: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6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Об отпусках, командировках работников с вредными и (или) опасными условиями труда – 50/75 лет</w:t>
            </w:r>
          </w:p>
        </w:tc>
      </w:tr>
      <w:tr>
        <w:trPr>
          <w:trHeight w:val="3270" w:hRule="atLeast"/>
        </w:trPr>
        <w:tc>
          <w:tcPr>
            <w:tcW w:w="8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а) о приеме, переводе, перемещении, ротации, совмещении, совместительстве, увольнении, оплате труда, аттестации, повышении квалификации, присвоении классных чинов, разрядов, званий, поощрении, награждении, об изменении </w:t>
              <w:br/>
              <w:t xml:space="preserve">анкетно-биографических данных, отпусках по уходу за ребенком, отпусках без сохранения </w:t>
              <w:br/>
              <w:t>заработной платы;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50/75 лет </w:t>
              <w:br/>
              <w:t>ЭПК</w:t>
            </w:r>
          </w:p>
        </w:tc>
        <w:tc>
          <w:tcPr>
            <w:tcW w:w="31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3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б) о ежегодно оплачиваемых отпусках, отпусках в связи с обучением, дежурствах, не связанных с основой (профильной) деятельностью; 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 (1)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в) о служебных проверках;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3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г) о направлении в командировку работников;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 (1)</w:t>
            </w:r>
          </w:p>
        </w:tc>
        <w:tc>
          <w:tcPr>
            <w:tcW w:w="3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д) о дисциплинарных взысканиях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 года</w:t>
            </w:r>
          </w:p>
        </w:tc>
        <w:tc>
          <w:tcPr>
            <w:tcW w:w="3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Трудовые договоры, служебные контракты, соглашения об </w:t>
              <w:br/>
              <w:t>их изменении, расторжении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50/75 лет </w:t>
              <w:br/>
              <w:t>ЭПК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Документы конкурсных комиссий </w:t>
              <w:br/>
              <w:t xml:space="preserve">по замещению вакантных должностей и включению </w:t>
              <w:br/>
              <w:t>в кадровый резерв;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а) решения конкурсных комиссий </w:t>
              <w:br/>
              <w:t>по итогам конкурса на замещение вакантных должностей;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 лет</w:t>
            </w:r>
          </w:p>
        </w:tc>
        <w:tc>
          <w:tcPr>
            <w:tcW w:w="31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б) протоколы заседаний конкурсных комиссий по результатам конкурса на включение в кадровый резерв;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31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в) конкурсные бюллетени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31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Должностные регламенты (инструкции) работников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Личные карточки работников, </w:t>
              <w:br/>
              <w:t xml:space="preserve">в том числе государственных </w:t>
              <w:br/>
              <w:t>и муниципальных служащих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50/75 лет </w:t>
              <w:br/>
              <w:t>ЭПК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6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6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Личные дела руководителей </w:t>
              <w:br/>
              <w:t>и работников организаций (1)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6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50/75 лет </w:t>
              <w:br/>
              <w:t>ЭПК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exact" w:line="238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Виды документов, входящих в состав личных дел государственных и муниципальных служащих определяются законодательством Российской Федерации, иных работников – локальными нормативными актами организации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Акты приема-передачи личных дел государственных и муниципальных служащих при переводе государственных (муниципальных) служащих на должность государственной (муниципальной) службы в другом государственном органе (органе местного самоуправления)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 лет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Подлинные личные документы (трудовая книжка, дипломы, аттестаты, удостоверения, свидетельства)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 востребования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Невостребованные работниками – 50/75 лет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 трудовой деятельности </w:t>
              <w:br/>
              <w:t>и трудовом стаже работника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Книги, журналы, карточки учета, базы данных: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а) приема, перевода на другую работу (перемещения), увольнения работников;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б) личных дел, личных карточек, трудовых договоров (служебных контрактов);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в) учета движения трудовых книжек и вкладышей в них;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и) регистрации прибытия и выезда сотрудников и членов их семей, направленных в загранпредставительства </w:t>
              <w:br/>
              <w:t>и учреждения Российской Федерации, международные организации;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113" w:after="113"/>
              <w:jc w:val="center"/>
              <w:outlineLvl w:val="3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8.2. Противодействие коррупции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22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Справки о доходах, расходах, </w:t>
              <w:br/>
              <w:t>об имуществе и обязательствах имущественного характера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113" w:after="113"/>
              <w:jc w:val="center"/>
              <w:outlineLvl w:val="3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8.3. Аттестация, повышение квалификации и профессиональная переподготовка работников, независимая оценка квалификации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22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Журналы учета выдачи дипломов, удостоверений, сертификатов, свидетельств о профессиональной переподготовке, повышении квалификации и их дубликатов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113" w:after="113"/>
              <w:jc w:val="center"/>
              <w:outlineLvl w:val="3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8.4. Награждение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22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Журналы учета вручения (передачи) государственных, муниципальных </w:t>
              <w:br/>
              <w:t>и ведомственных наград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170" w:after="119"/>
              <w:jc w:val="center"/>
              <w:outlineLvl w:val="2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10. Административно-хозяйственное обеспечение деятельности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10.2. Транспортное обслуживание</w:t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Путевые листы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 (1)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(1) При отсутствии других документов, подтверждающих вредные </w:t>
              <w:br/>
              <w:t>и опасные условия труда – 50/75 лет</w:t>
            </w:r>
          </w:p>
        </w:tc>
      </w:tr>
      <w:tr>
        <w:trPr/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40" w:after="120"/>
              <w:jc w:val="center"/>
              <w:outlineLvl w:val="2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  <w:lang w:eastAsia="ru-RU"/>
              </w:rPr>
              <w:t>12. Социально-бытовые вопросы</w:t>
              <w:br/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12.1. Социальное страхование, социальная защита</w:t>
            </w:r>
          </w:p>
        </w:tc>
      </w:tr>
      <w:tr>
        <w:trPr/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Личные дела: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2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После снятия получателя с учета</w:t>
            </w:r>
          </w:p>
          <w:p>
            <w:pPr>
              <w:pStyle w:val="Normal"/>
              <w:spacing w:lineRule="auto" w:line="240" w:before="120" w:after="2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(2) При отсутствии периода, засчитываемого в трудовой стаж – 3 года</w:t>
            </w:r>
          </w:p>
          <w:p>
            <w:pPr>
              <w:pStyle w:val="Normal"/>
              <w:spacing w:lineRule="auto" w:line="240" w:before="120" w:after="2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(3) После прекращения страховых выплат</w:t>
            </w:r>
          </w:p>
        </w:tc>
      </w:tr>
      <w:tr>
        <w:trPr/>
        <w:tc>
          <w:tcPr>
            <w:tcW w:w="8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б) несовершеннолетних подопечных;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75 лет</w:t>
            </w:r>
          </w:p>
        </w:tc>
        <w:tc>
          <w:tcPr>
            <w:tcW w:w="313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в) получателей государственных услуг, признанных безработными;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 лет (2)</w:t>
            </w:r>
          </w:p>
        </w:tc>
        <w:tc>
          <w:tcPr>
            <w:tcW w:w="313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з) получателей страховых выплат, пострадавших от несчастных случаев на производстве и профессиональных заболеваний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50/75 лет</w:t>
            </w:r>
          </w:p>
        </w:tc>
        <w:tc>
          <w:tcPr>
            <w:tcW w:w="313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rPr>
                <w:rFonts w:ascii="Tahoma" w:hAnsi="Tahoma"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 w:ascii="Tahoma" w:hAnsi="Tahoma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57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Сведения, представляемые в Пенсионный фонд Российской Федерации для индивидуального (персонифицированного) учета: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В электронной форме – 75 лет</w:t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а) у страхователей;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3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б) в Пенсионном фонде Российской Федерации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 лет (1)</w:t>
            </w:r>
          </w:p>
        </w:tc>
        <w:tc>
          <w:tcPr>
            <w:tcW w:w="3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Документы (отчеты, акты, списки, планы-графики, переписка) периодических медицинских осмотров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 года (1)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19" w:after="113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(1) Заключительные акты медицинских осмотров работников, выполняющих работы с вредными, опасными условиями труда – 50/75 лет</w:t>
            </w:r>
          </w:p>
        </w:tc>
      </w:tr>
    </w:tbl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>_______________________</w:t>
      </w:r>
    </w:p>
    <w:sectPr>
      <w:footnotePr>
        <w:numFmt w:val="decimal"/>
      </w:footnotePr>
      <w:type w:val="continuous"/>
      <w:pgSz w:w="11906" w:h="16838"/>
      <w:pgMar w:left="1418" w:right="850" w:header="0" w:top="1134" w:footer="0" w:bottom="1134" w:gutter="0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tabs>
          <w:tab w:val="clear" w:pos="708"/>
          <w:tab w:val="left" w:pos="243" w:leader="none"/>
        </w:tabs>
        <w:spacing w:lineRule="exact" w:line="227" w:before="40" w:after="40"/>
        <w:jc w:val="both"/>
        <w:rPr/>
      </w:pPr>
      <w:r>
        <w:rPr>
          <w:rStyle w:val="Style14"/>
        </w:rPr>
        <w:footnoteRef/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0"/>
        </w:rPr>
        <w:t>) Здесь и далее срок хранения 50/75 лет означает, что указанные документы, законченные делопроизводством до 1 января 2003 года, хранятся 75 лет; законченные делопроизводством после 1 января 2003 года, хранятся 50 лет. Указанные документы, образовавшиеся в процессе деятельности источников комплектования государственных и муниципальных архивов архивными документами, подлежат экспертизе ценности по истечении установленных сроков хранения. Документы по личному составу, образовавшиеся в связи с прохождением гражданами государственной службы, не являющейся государственной гражданской службой, хранятся в государственных органах, в которых граждане проходили государственную службу, не являющуюся государственной гражданской службой, в течение 75 лет после прекращения государственной службы с проведением экспертизы ценности документов после истечения указанного срока хранения (статья 22.1 Федерального закона № 125-ФЗ от 22 октября 2004 г. «Об архивном деле в Российской Федерации»).</w:t>
      </w:r>
    </w:p>
    <w:p>
      <w:pPr>
        <w:pStyle w:val="Style27"/>
        <w:rPr/>
      </w:pPr>
      <w:r>
        <w:rPr/>
      </w:r>
    </w:p>
  </w:footnote>
  <w:footnote w:id="3">
    <w:p>
      <w:pPr>
        <w:pStyle w:val="Normal"/>
        <w:shd w:val="clear" w:color="auto" w:fill="FFFFFF"/>
        <w:spacing w:lineRule="auto" w:line="240" w:before="40" w:after="40"/>
        <w:jc w:val="both"/>
        <w:rPr/>
      </w:pPr>
      <w:r>
        <w:rPr>
          <w:rStyle w:val="Style14"/>
        </w:rPr>
        <w:footnoteRef/>
      </w: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) ЭПК – Экспертно-проверочная комиссия</w:t>
      </w:r>
    </w:p>
    <w:p>
      <w:pPr>
        <w:pStyle w:val="Style27"/>
        <w:rPr/>
      </w:pPr>
      <w:r>
        <w:rPr/>
      </w:r>
    </w:p>
  </w:footnote>
</w:footnotes>
</file>

<file path=word/settings.xml><?xml version="1.0" encoding="utf-8"?>
<w:settings xmlns:w="http://schemas.openxmlformats.org/wordprocessingml/2006/main">
  <w:zoom w:percent="75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umentProtection w:edit="forms" w:enforcement="1" w:cryptProviderType="rsaAES" w:cryptAlgorithmClass="hash" w:cryptAlgorithmType="typeAny" w:cryptAlgorithmSid="" w:cryptSpinCount="0" w:hash="" w:salt="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1b749e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ba17a8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8">
    <w:name w:val="Heading 8"/>
    <w:basedOn w:val="Normal"/>
    <w:next w:val="Normal"/>
    <w:link w:val="80"/>
    <w:qFormat/>
    <w:rsid w:val="001b4aaf"/>
    <w:pPr>
      <w:keepNext w:val="true"/>
      <w:spacing w:lineRule="exact" w:line="260" w:before="80" w:after="0"/>
      <w:jc w:val="center"/>
      <w:outlineLvl w:val="7"/>
    </w:pPr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qFormat/>
    <w:rsid w:val="001b4aaf"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ba17a8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1b749e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1" w:customStyle="1">
    <w:name w:val="Верхний колонтитул Знак"/>
    <w:basedOn w:val="DefaultParagraphFont"/>
    <w:link w:val="a4"/>
    <w:uiPriority w:val="99"/>
    <w:qFormat/>
    <w:rsid w:val="001175ef"/>
    <w:rPr/>
  </w:style>
  <w:style w:type="character" w:styleId="Style12" w:customStyle="1">
    <w:name w:val="Нижний колонтитул Знак"/>
    <w:basedOn w:val="DefaultParagraphFont"/>
    <w:link w:val="a6"/>
    <w:uiPriority w:val="99"/>
    <w:qFormat/>
    <w:rsid w:val="001175ef"/>
    <w:rPr/>
  </w:style>
  <w:style w:type="character" w:styleId="Style13" w:customStyle="1">
    <w:name w:val="Текст выноски Знак"/>
    <w:basedOn w:val="DefaultParagraphFont"/>
    <w:link w:val="a9"/>
    <w:uiPriority w:val="99"/>
    <w:semiHidden/>
    <w:qFormat/>
    <w:rsid w:val="00aa6b15"/>
    <w:rPr>
      <w:rFonts w:ascii="Tahoma" w:hAnsi="Tahoma" w:cs="Tahoma"/>
      <w:sz w:val="16"/>
      <w:szCs w:val="16"/>
    </w:rPr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Times New Roman" w:hAnsi="Times New Roman" w:eastAsia="Tahoma" w:cs="Free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Times New Roman" w:hAnsi="Times New Roman" w:cs="Free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ConsPlusNormal" w:customStyle="1">
    <w:name w:val="ConsPlusNormal"/>
    <w:qFormat/>
    <w:rsid w:val="00fc3e72"/>
    <w:pPr>
      <w:widowControl w:val="false"/>
      <w:bidi w:val="0"/>
      <w:spacing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Прижатый влево"/>
    <w:basedOn w:val="Normal"/>
    <w:next w:val="Normal"/>
    <w:uiPriority w:val="99"/>
    <w:qFormat/>
    <w:rsid w:val="001b749e"/>
    <w:pPr>
      <w:widowControl w:val="false"/>
    </w:pPr>
    <w:rPr>
      <w:rFonts w:ascii="Arial" w:hAnsi="Arial" w:eastAsia="Times New Roman" w:cs="Arial"/>
      <w:sz w:val="24"/>
      <w:szCs w:val="24"/>
      <w:lang w:eastAsia="ru-RU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5"/>
    <w:uiPriority w:val="99"/>
    <w:unhideWhenUsed/>
    <w:rsid w:val="001175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7"/>
    <w:uiPriority w:val="99"/>
    <w:unhideWhenUsed/>
    <w:rsid w:val="001175e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ab7e3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aa6b15"/>
    <w:pPr/>
    <w:rPr>
      <w:rFonts w:ascii="Tahoma" w:hAnsi="Tahoma" w:cs="Tahoma"/>
      <w:sz w:val="16"/>
      <w:szCs w:val="16"/>
    </w:rPr>
  </w:style>
  <w:style w:type="paragraph" w:styleId="Style27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Application>LibreOffice/6.3.5.2$Linux_X86_64 LibreOffice_project/30$Build-2</Application>
  <Pages>10</Pages>
  <Words>1839</Words>
  <Characters>12548</Characters>
  <CharactersWithSpaces>14218</CharactersWithSpaces>
  <Paragraphs>235</Paragraphs>
  <Company>APK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2017-05-19T07:23:00Z</dcterms:created>
  <dc:creator>Ходова Леонора Валерьевна</dc:creator>
  <dc:description/>
  <dc:language>ru-RU</dc:language>
  <cp:lastModifiedBy>Екатерина Владимировна Леоненко</cp:lastModifiedBy>
  <cp:lastPrinted>2017-05-19T07:16:00Z</cp:lastPrinted>
  <dcterms:modified xsi:type="dcterms:W3CDTF">2020-12-24T16:23:33Z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APK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